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noProof/>
          <w:sz w:val="40"/>
          <w:szCs w:val="40"/>
          <w:lang w:val="en-US" w:bidi="hi-IN" w:eastAsia="en-IN"/>
        </w:rPr>
      </w:pPr>
      <w:r>
        <w:rPr>
          <w:rFonts w:ascii="Times New Roman" w:cs="Times New Roman" w:hAnsi="Times New Roman"/>
          <w:noProof/>
          <w:sz w:val="40"/>
          <w:szCs w:val="40"/>
          <w:lang w:val="en-US" w:bidi="hi-IN" w:eastAsia="en-IN"/>
        </w:rPr>
        <w:t>Dr. Reena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noProof/>
          <w:sz w:val="40"/>
          <w:szCs w:val="40"/>
          <w:lang w:bidi="hi-IN" w:eastAsia="en-IN"/>
        </w:rPr>
      </w:pPr>
      <w:r>
        <w:rPr>
          <w:rFonts w:ascii="Times New Roman" w:cs="Times New Roman" w:hAnsi="Times New Roman"/>
          <w:noProof/>
          <w:sz w:val="40"/>
          <w:szCs w:val="40"/>
          <w:lang w:val="en-US" w:bidi="hi-IN" w:eastAsia="en-IN"/>
        </w:rPr>
        <w:t>Extension Lecturer (Economics</w:t>
      </w:r>
      <w:r>
        <w:rPr>
          <w:rFonts w:ascii="Times New Roman" w:cs="Times New Roman" w:hAnsi="Times New Roman"/>
          <w:noProof/>
          <w:sz w:val="40"/>
          <w:szCs w:val="40"/>
          <w:lang w:val="en-US" w:bidi="hi-IN" w:eastAsia="en-IN"/>
        </w:rPr>
        <w:t>)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noProof/>
          <w:sz w:val="44"/>
          <w:szCs w:val="44"/>
          <w:lang w:bidi="hi-IN" w:eastAsia="en-IN"/>
        </w:rPr>
      </w:pPr>
      <w:r>
        <w:rPr>
          <w:rFonts w:ascii="Times New Roman" w:cs="Times New Roman" w:hAnsi="Times New Roman"/>
          <w:noProof/>
          <w:sz w:val="44"/>
          <w:szCs w:val="44"/>
          <w:lang w:bidi="hi-IN" w:eastAsia="en-IN"/>
        </w:rPr>
        <w:t xml:space="preserve">                                             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Personal Information 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Date of Birth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15.07.1983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Father Name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Sh. Ramesh Chander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Designation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Exte</w:t>
      </w:r>
      <w:r>
        <w:rPr>
          <w:rFonts w:ascii="Times New Roman" w:cs="Times New Roman" w:hAnsi="Times New Roman"/>
          <w:sz w:val="24"/>
          <w:szCs w:val="24"/>
        </w:rPr>
        <w:t xml:space="preserve">nsion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Lecturer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Economics)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Qualification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</w:rPr>
        <w:t xml:space="preserve">           Ph.D., M.Phil., NET, B.Ed.</w:t>
      </w:r>
    </w:p>
    <w:p>
      <w:pPr>
        <w:pStyle w:val="style0"/>
        <w:spacing w:before="240" w:lineRule="auto" w:line="276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College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Govt. College Birohar</w:t>
      </w:r>
    </w:p>
    <w:p>
      <w:pPr>
        <w:pStyle w:val="style0"/>
        <w:spacing w:before="240" w:lineRule="auto" w:line="276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Date of Joining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19.09.2019</w:t>
      </w:r>
    </w:p>
    <w:p>
      <w:pPr>
        <w:pStyle w:val="style0"/>
        <w:spacing w:before="240" w:lineRule="auto" w:line="276"/>
        <w:contextualSpacing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Experience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Nine Years</w:t>
      </w:r>
    </w:p>
    <w:p>
      <w:pPr>
        <w:pStyle w:val="style0"/>
        <w:spacing w:before="24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Residential Addres</w:t>
      </w:r>
      <w:r>
        <w:rPr>
          <w:rFonts w:ascii="Times New Roman" w:cs="Times New Roman" w:hAnsi="Times New Roman"/>
          <w:bCs/>
          <w:sz w:val="24"/>
          <w:szCs w:val="24"/>
        </w:rPr>
        <w:t>s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cs="Times New Roman" w:hAnsi="Times New Roman"/>
          <w:sz w:val="24"/>
          <w:szCs w:val="24"/>
          <w:lang w:val="en-US"/>
        </w:rPr>
        <w:t>Mahendragarh</w:t>
      </w:r>
    </w:p>
    <w:p>
      <w:pPr>
        <w:pStyle w:val="style0"/>
        <w:spacing w:before="24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Phone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7015953170</w:t>
      </w:r>
    </w:p>
    <w:p>
      <w:pPr>
        <w:pStyle w:val="style0"/>
        <w:spacing w:before="24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Email ID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tanwar.reena1@gmail.com</w:t>
      </w:r>
    </w:p>
    <w:p>
      <w:pPr>
        <w:pStyle w:val="style0"/>
        <w:spacing w:before="24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bidi="sa-IN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sa-IN"/>
        </w:rPr>
        <w:t xml:space="preserve">Research papers published in Journals or Conference proceedings:  </w:t>
      </w:r>
    </w:p>
    <w:tbl>
      <w:tblPr>
        <w:tblStyle w:val="style154"/>
        <w:tblW w:w="98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98"/>
        <w:gridCol w:w="3510"/>
        <w:gridCol w:w="1350"/>
        <w:gridCol w:w="900"/>
        <w:gridCol w:w="1170"/>
      </w:tblGrid>
      <w:tr>
        <w:trPr/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 xml:space="preserve">Sr. No. 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>Title of Research Paper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>Journal, Volume, Year, Page Numbers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>Whether refereed/ conference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>proceeding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>ISSN/ISBN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32"/>
                <w:szCs w:val="32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>No.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16"/>
                <w:szCs w:val="16"/>
                <w:lang w:bidi="sa-IN"/>
              </w:rPr>
              <w:t>Whether first/principal/ Co- author/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16"/>
                <w:szCs w:val="16"/>
                <w:lang w:bidi="sa-IN"/>
              </w:rPr>
              <w:t>supervisor/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16"/>
                <w:szCs w:val="16"/>
                <w:lang w:bidi="sa-IN"/>
              </w:rPr>
              <w:t xml:space="preserve">mentor or other author 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1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Patterns of Growth in Service Sector in Indian Economy- 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Maharshi Dayanand University Research Journal (Arts), vol. 9, no.1, April 2010, p. 55-76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0972-706X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2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Manufacturing and Services Sector: A Correlation Analysis-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of Trends in Commerce and Economics, Vol. 3, Issue 2, 2014, p. 12-23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2349-543X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Corresponding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3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Factors Affecting Housing Finance Decision: An Empirical Analysis-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Emerging Trends in Social Sciences ,Vol.5,Issue 19-20, July-December 2016,p. 22-31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2277-8624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Growth of Employment in Services Sector- Dr. Reena</w:t>
            </w:r>
          </w:p>
          <w:p>
            <w:pPr>
              <w:pStyle w:val="style0"/>
              <w:rPr/>
            </w:pP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for Social Development, Vol.5, Issue 1, Jan.-Mar. 2017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2320-9283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Role of Service Sector in Haryana Economy-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Galaxy International Interdisciplinary Research Journal, Vol.5(8),Aug.(2017),p. 11-23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2347-6915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6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Demonetization-An Overview-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of Business Management and Allied Sciences, Vol.4,Issue 3.2017,p. 4483-4489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2349-4638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Managerial Capabilities of Women Entrepreneurs: An Empirical Study-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Emerging Trends in Social Sciences , Vol.5,Issue 17-18,p. 48-  59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ISSN 2277-8624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8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Banker’s Viewpoint Toward facilities Provided under Pardhan mantra jan-Dhan Yojna (PMJDY) 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Enlightened Voice- A Multi-Disciplinary National Refereed Research Journal, Vol.3(1),p. 139-148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2455-2984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9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Financial Inclusion-An Evaluation of Pradhan Mantri Jan Dhan Yojana-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Deepak: An International Research Journal, Vol.3 No.4, October-December 2017,p.71-74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2394-6563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Growth and Structure of Indian Economy-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of Business Management and Allied Sciences, Vol.5,Issue 1.2018,p. 139-146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2349-4638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Bancassurance-Banks Playing the Role of Intermediary- Dr.Reena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Kaav International Journal of Economics, commerce &amp; Business Management, Vol.5/ISS-1/A1, Jan-Mar 2018,p. 1-4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2348-4969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A Study of Services Sector in India and Haryana-Post Economic Reform-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of Research, Vol.5,Issue-01, January 2018,p. 2692-2702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2348-6848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Role of Rural Economy of India-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of Research, Vol.5,Issue-04, February 2018,p. 245-253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2348-6848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14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Demonetization and Its Impact on the Indian Economy-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of Creative Research Thoughts, Vol.6,Issue-1, February 2018,p. 437-446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2320-2882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NITI Aayog: An Overview -Dr.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of Academic Research and Development, Vol.3,Issue-1, January 2018,p. 844-847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2455-4197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2198" w:type="dxa"/>
            <w:tcBorders/>
          </w:tcPr>
          <w:p>
            <w:pPr>
              <w:pStyle w:val="style0"/>
              <w:rPr/>
            </w:pPr>
            <w:r>
              <w:t>The Role of Education in Indian Economy- Dr. Reena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International Journal of Advanced Research and Development, Vol.3,Issue-1, January 2018,p. 603-606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/>
            </w:pPr>
            <w:r>
              <w:t>Refereed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ISSN 2455-4030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/>
            </w:pPr>
            <w:r>
              <w:t>Principal Author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Refresher Course, methodology workshops, Training, Teaching-Learning-Evaluation Technology Programmes, Soft skills development Programmes, faculty Development Programmes: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403"/>
        <w:gridCol w:w="1710"/>
        <w:gridCol w:w="3330"/>
      </w:tblGrid>
      <w:tr>
        <w:trPr>
          <w:trHeight w:val="431" w:hRule="atLeast"/>
          <w:jc w:val="center"/>
        </w:trPr>
        <w:tc>
          <w:tcPr>
            <w:tcW w:w="552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Sr.</w:t>
            </w:r>
          </w:p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403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33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Organized by</w:t>
            </w:r>
          </w:p>
        </w:tc>
      </w:tr>
      <w:tr>
        <w:tblPrEx/>
        <w:trPr>
          <w:trHeight w:val="935" w:hRule="atLeast"/>
          <w:jc w:val="center"/>
        </w:trPr>
        <w:tc>
          <w:tcPr>
            <w:tcW w:w="552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Orientation Course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27.03.2024 to 23.04.2024</w:t>
            </w:r>
          </w:p>
        </w:tc>
        <w:tc>
          <w:tcPr>
            <w:tcW w:w="333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Ramanujan College, University of Delhi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 w:hRule="atLeast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both"/>
              <w:outlineLvl w:val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 w:bidi="sa-IN"/>
              </w:rPr>
              <w:t>Faculty Development Programmes/Refresher cour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 w:bidi="sa-IN"/>
              </w:rPr>
              <w:t>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outlineLvl w:val="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21.12.2022   to 31.12.2022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  <w:tab w:val="left" w:leader="none" w:pos="4320"/>
              </w:tabs>
              <w:spacing w:after="0" w:lineRule="auto" w:line="240"/>
              <w:jc w:val="center"/>
              <w:outlineLvl w:val="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 w:bidi="sa-IN"/>
              </w:rPr>
              <w:t xml:space="preserve">Indira Gandhi National Open 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  <w:lang w:val="en-US" w:bidi="sa-IN"/>
              </w:rPr>
              <w:t>University, New Delhi</w:t>
            </w:r>
            <w:r>
              <w:rPr>
                <w:rFonts w:ascii="Times New Roman" w:cs="Times New Roman" w:hAnsi="Times New Roman"/>
                <w:sz w:val="24"/>
                <w:szCs w:val="24"/>
                <w:lang w:val="en-US" w:bidi="sa-IN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32"/>
          <w:szCs w:val="32"/>
          <w:lang w:bidi="sa-IN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bidi="sa-IN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sa-IN"/>
        </w:rPr>
        <w:t>Participation and Papers presented in Conference/ Seminars / Workshop/ Symposia etc.</w:t>
      </w:r>
      <w:r>
        <w:rPr>
          <w:rFonts w:ascii="Times New Roman" w:cs="Times New Roman" w:hAnsi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style154"/>
        <w:tblW w:w="94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5"/>
        <w:gridCol w:w="1910"/>
        <w:gridCol w:w="1204"/>
        <w:gridCol w:w="2326"/>
        <w:gridCol w:w="1773"/>
        <w:gridCol w:w="1628"/>
      </w:tblGrid>
      <w:tr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>Conference/Seminar etc. &amp; Organizer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>Patterns of Growth in Agricultural sector in Indian Economy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/>
            </w:pPr>
            <w:r>
              <w:t>Emerging Issues in Derivative Markets in India</w:t>
            </w:r>
            <w:r>
              <w:t>, IMSAR, Rohtak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15.12.2012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National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>A  Correlation Analysis of Agricultural sector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/>
            </w:pPr>
            <w:r>
              <w:t>Emerging Paradigms in management in the Era of Globalization</w:t>
            </w:r>
            <w:r>
              <w:t>,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Maharaja Surajmal Institute, Janakpuri, New Delhi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01.03.2014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international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3.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>Pradhan Mantri Jan Dhan Yojna- An overview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/>
            </w:pPr>
            <w:r>
              <w:t>Startup India Recipe for Inclusive Entrepreneurship and Innovation: Issues and Challenges</w:t>
            </w:r>
            <w:r>
              <w:t>, IMSAR, Rohtak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02.03.2017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international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4.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>Women Empowerment in Ramayan and Modern Era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/>
            </w:pPr>
            <w:r>
              <w:t>Women Empowerment ,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M.D.U Rohtak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18.09.2017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international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5.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>Role of ICT in Promoting sustainable Development in Power sector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/>
            </w:pPr>
            <w:r>
              <w:rPr>
                <w:rFonts w:cs="Times New Roman" w:eastAsia="Times New Roman"/>
                <w:sz w:val="24"/>
                <w:szCs w:val="24"/>
              </w:rPr>
              <w:t>Role of Digitalization in Sustainable Development:A Global Perspective</w:t>
            </w:r>
            <w:r>
              <w:rPr>
                <w:rFonts w:cs="Times New Roman" w:eastAsia="Times New Roman"/>
                <w:sz w:val="24"/>
                <w:szCs w:val="24"/>
              </w:rPr>
              <w:t>,</w:t>
            </w:r>
            <w:r>
              <w:t xml:space="preserve"> Deptt. Of Education, MDU, Rohtak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16.09.2017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international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6.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>Role of CSR in Indian Companies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/>
            </w:pPr>
            <w:r>
              <w:t>Dimensions of Business Management and Corporate social Responsibility in Globalised Era</w:t>
            </w:r>
            <w:r>
              <w:t>,IMSAR Rohtak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/>
            </w:pPr>
            <w:r>
              <w:t>26.09.2017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/>
            </w:pPr>
            <w:r>
              <w:t>National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7.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>Demonetization-Merits &amp; Demerits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/>
            </w:pPr>
            <w:r>
              <w:t>Trends and Dynamics in Indian Politics</w:t>
            </w:r>
            <w:r>
              <w:t>, Govt. College for Women, Ateli, Mahendragarh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/>
            </w:pPr>
            <w:r>
              <w:t>02.02.2018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/>
            </w:pPr>
            <w:r>
              <w:t>National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8.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 xml:space="preserve">A Study on Demonetization and its Impact on the various sector 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Make In India,</w:t>
            </w:r>
            <w:r>
              <w:rPr>
                <w:sz w:val="24"/>
                <w:szCs w:val="24"/>
              </w:rPr>
              <w:t xml:space="preserve"> Gaur Brahman Degree College, Rohtak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/>
            </w:pPr>
            <w:r>
              <w:t>17.03.2018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/>
            </w:pPr>
            <w:r>
              <w:t>National</w:t>
            </w:r>
          </w:p>
        </w:tc>
      </w:tr>
      <w:tr>
        <w:tblPrEx/>
        <w:trPr/>
        <w:tc>
          <w:tcPr>
            <w:tcW w:w="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sa-IN"/>
              </w:rPr>
              <w:t>9.</w:t>
            </w:r>
          </w:p>
        </w:tc>
        <w:tc>
          <w:tcPr>
            <w:tcW w:w="1910" w:type="dxa"/>
            <w:tcBorders/>
          </w:tcPr>
          <w:p>
            <w:pPr>
              <w:pStyle w:val="style0"/>
              <w:rPr/>
            </w:pPr>
            <w:r>
              <w:t>Growth and Structural Change in Rural Economy</w:t>
            </w:r>
          </w:p>
        </w:tc>
        <w:tc>
          <w:tcPr>
            <w:tcW w:w="1204" w:type="dxa"/>
            <w:tcBorders/>
          </w:tcPr>
          <w:p>
            <w:pPr>
              <w:pStyle w:val="style0"/>
              <w:rPr/>
            </w:pPr>
            <w:r>
              <w:t>Dr. Reena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Changing Global Business Environment (CGBE-2018)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I.G.U. Meerpur, Rewari</w:t>
            </w:r>
          </w:p>
        </w:tc>
        <w:tc>
          <w:tcPr>
            <w:tcW w:w="1773" w:type="dxa"/>
            <w:tcBorders/>
          </w:tcPr>
          <w:p>
            <w:pPr>
              <w:pStyle w:val="style0"/>
              <w:rPr/>
            </w:pPr>
            <w:r>
              <w:t>30.03.2018</w:t>
            </w:r>
          </w:p>
        </w:tc>
        <w:tc>
          <w:tcPr>
            <w:tcW w:w="1628" w:type="dxa"/>
            <w:tcBorders/>
          </w:tcPr>
          <w:p>
            <w:pPr>
              <w:pStyle w:val="style0"/>
              <w:rPr/>
            </w:pPr>
            <w:r>
              <w:t>international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32"/>
          <w:szCs w:val="32"/>
          <w:lang w:bidi="sa-IN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  <w:lang w:bidi="sa-IN"/>
        </w:rPr>
      </w:pPr>
    </w:p>
    <w:sectPr>
      <w:footerReference w:type="default" r:id="rId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5a7b01fc-166b-4af7-9ffd-86ac3151912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eb43dd97-06c3-4b76-8041-9ead21daf8e2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Words>787</Words>
  <Pages>1</Pages>
  <Characters>5116</Characters>
  <Application>WPS Office</Application>
  <DocSecurity>0</DocSecurity>
  <Paragraphs>237</Paragraphs>
  <ScaleCrop>false</ScaleCrop>
  <LinksUpToDate>false</LinksUpToDate>
  <CharactersWithSpaces>5832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2024-12-13T06:34:00Z</dcterms:created>
  <dc:creator>Krishan Kumar</dc:creator>
  <lastModifiedBy>CPH2569</lastModifiedBy>
  <dcterms:modified xsi:type="dcterms:W3CDTF">2025-01-31T07:08:25Z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